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6" w:rsidRPr="00CD43D6" w:rsidRDefault="00CD43D6" w:rsidP="00401F5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CD4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RUJUKAN</w:t>
      </w:r>
    </w:p>
    <w:bookmarkEnd w:id="0"/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Ab. Aziz Yusof dan Intan Osman (2002). “Penguru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san Sumber Manusia: Konsep, Isu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dan Pelaksanaan.” Edisi Pertama, Petaling Jaya : Prentice Hall.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Abd Hamid, M.Z &amp; Ahmad, M.F. (2012). “Ta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hap Kesedaran Staf UTM Terhadap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Keselamatan Pekerjaan Di Makmal Dan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ngkel Kejuruteraan.” Journal of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Educational Management, Volume 6 June 2012, Pages 36-51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Abd. Aziz Yusof (2000). “Pengurusan dan Gel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agat Organisasi di abad Ke 21.”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London : Prentice Hall, 2000.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Abd. Latiff Ahmad (2000). “Teks Ucapan Di Maj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 Penyampaian Sijil EMS 14001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dan OSHMS 18001.” Mersing : Kementerian Sumber Manusia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Ajslev, J., Dastjerdi, E.I., Dyreborg, J., Kines, P.</w:t>
      </w:r>
      <w:r>
        <w:rPr>
          <w:rFonts w:ascii="Times New Roman" w:hAnsi="Times New Roman" w:cs="Times New Roman"/>
          <w:color w:val="000000"/>
          <w:sz w:val="24"/>
          <w:szCs w:val="24"/>
        </w:rPr>
        <w:t>, Jeschke, K.C., Sundstrup, E.,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Jakobsen, M.D., Fallentin, N., Andersen, L.L., (2017). Safety cli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 and accidents at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work: Cross-sectional study among 15000 workers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general working population.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Saf. Sci. 91, 320-325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Ajslev, J., Dastjerdi, E.L., Dyreborg, J., Kines, P.</w:t>
      </w:r>
      <w:r>
        <w:rPr>
          <w:rFonts w:ascii="Times New Roman" w:hAnsi="Times New Roman" w:cs="Times New Roman"/>
          <w:color w:val="000000"/>
          <w:sz w:val="24"/>
          <w:szCs w:val="24"/>
        </w:rPr>
        <w:t>, Jeschke, K.C., Sundstrup, E.,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Jakobsen, Tharenou, P., (2001). “The relation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ship of training motivation to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participation in training and development.” J. 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cup. Organizational Psychol. 74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(599–621)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Akta Keselamatan dan Kesihatan Pekerjaan 1994 (Akta 514).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Aroff, A. R., &amp; Kasa, Z. (2000). Falsafah dan konsep pendidikan. Shah Ala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m: Fajar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Bakti Sdn. Bhd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Austin, N., (2012). “Implications of an agi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ng workforce. ASSE Professional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Development Conference and Exposition.” American Society of Safety Engineers.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Aziz, S.F.A., Selamat, M.N., (2016). “Stimula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ting workplace learning through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training and risk.” J. Appl. Psychol. 102 (3), 375–388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Bahari, I. (2006). Pengurusan keselamatan dan ke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sihatan pekerjaan, edisi kedua.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Universiti Kebangsaan Malaysia: Mc Graw Hill.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Baldwin, T.T., Magjuka, R.J., Loher, B., (1991). “The perils of 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participation: Effects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of the choice of training on trainee motivation and le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>arning.” Pers. Psychol. 44, 51–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Bande, R., López-Mourelo, E., (2015). “Th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e impact of worker’s age on the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consequences of occupational accidents: empirical evidence using Spani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sh data.” J.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Labor Res. 36 (2), 129–174.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Bohle, P., Di Milia, L., Fletcher, A., Rajaratnam, S., (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2008). “Introduction: aging and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the multifaceted influences on adaptation to working ti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me.” Chronobiol. Int. 25 (2–3),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155–164.</w:t>
      </w: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Chau, N., Dehaene, D., Benamghar, L., Bourgkard, E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., Mur, J.M., Touron, C., Wild,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P., (2014). “Roles of age, length of service an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d job in work-related injury: A prospective study of 63,620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person-years in female wor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kers.” Am. J. Ind. Med. 57 (2),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172–183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Chau, N., Ravaud, J.F., Otero-Sierra, C., Legras, B., 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Macho-Fernandez, J., Guillemin,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F., Sanchez, J., Mur, J.M., (2005). “Preva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lence of impairments and social inequalities.” Rev.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d'epidemiologie et de sante publique 53 (6), 614–628.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Cheung, F., Wu, A.M., (2012). “An investigation of pr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edictors of successful aging in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the workplace among Hong Kong Chinese older worker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s.” Int. Psychogeriatr. 24 (3),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449–464.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Cheung, F., Wu, A.M., (2013). “Emotional labo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ur and successful ageing in the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workplace among older Chinese employees.” Ageing Soc. 33 (6), 1036–1051.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Clarke, T., &amp; Rallo, C. (2001). Coperate Initiative 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in Knowledge Management Journal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Of Education and Training. Vol 43. 4 PP 206 – 214.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Cooper, R. D. &amp; Schindler, S. P. (2014). Business 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Research Methods. Boston: Irwin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McGraw Hill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Eva Silvani Lawasi dan Boge T. (2017). “Pe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ngaruh Komunikasi, Motivasi Dan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Kerjasama Tim</w:t>
      </w:r>
      <w:r w:rsidRPr="00CD43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” Vol.5, No 1, 2017 Fakultas 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Ekonomi dan Bisnis, Universitas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Merdeka Malang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Gauchard, G.C., Mur, J., Touron, C., Benamghar, L.,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 Dehaene, D., Perrin, P., Chau,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N., (2006). “Determinants of accident proneness: </w:t>
      </w:r>
      <w:r w:rsidR="00B70595">
        <w:rPr>
          <w:rFonts w:ascii="Times New Roman" w:hAnsi="Times New Roman" w:cs="Times New Roman"/>
          <w:color w:val="000000"/>
          <w:sz w:val="24"/>
          <w:szCs w:val="24"/>
        </w:rPr>
        <w:t xml:space="preserve">a case–control study in railway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workers.” Occup. Med. 56 (3), 187–190.</w:t>
      </w:r>
    </w:p>
    <w:p w:rsidR="00B70595" w:rsidRPr="00CD43D6" w:rsidRDefault="00B70595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Goetsch, D.L (1999). “Occupational Safety and Hel</w:t>
      </w:r>
      <w:r w:rsidR="009F6446">
        <w:rPr>
          <w:rFonts w:ascii="Times New Roman" w:hAnsi="Times New Roman" w:cs="Times New Roman"/>
          <w:color w:val="000000"/>
          <w:sz w:val="24"/>
          <w:szCs w:val="24"/>
        </w:rPr>
        <w:t xml:space="preserve">ath for Technologies, Engineers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and Managers.” New Jersey : Prentice Hall.</w:t>
      </w:r>
    </w:p>
    <w:p w:rsidR="009F6446" w:rsidRPr="00CD43D6" w:rsidRDefault="009F644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Grau, R., Martínez, I.M., Agut, S., Salanova, M., (200</w:t>
      </w:r>
      <w:r w:rsidR="009F6446">
        <w:rPr>
          <w:rFonts w:ascii="Times New Roman" w:hAnsi="Times New Roman" w:cs="Times New Roman"/>
          <w:color w:val="000000"/>
          <w:sz w:val="24"/>
          <w:szCs w:val="24"/>
        </w:rPr>
        <w:t xml:space="preserve">2). “Safety attitudes and their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relationship to safety training and generalised self</w:t>
      </w:r>
      <w:r w:rsidR="009F6446">
        <w:rPr>
          <w:rFonts w:ascii="Times New Roman" w:hAnsi="Times New Roman" w:cs="Times New Roman"/>
          <w:color w:val="000000"/>
          <w:sz w:val="24"/>
          <w:szCs w:val="24"/>
        </w:rPr>
        <w:t xml:space="preserve">-efficacy.” Int. J. Occup. Saf.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Ergonom. 8 (1), 23–35.</w:t>
      </w:r>
    </w:p>
    <w:p w:rsidR="009F6446" w:rsidRPr="00CD43D6" w:rsidRDefault="009F644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Griffin, M. A., &amp; Neal, A. (2000). Perceptions of </w:t>
      </w:r>
      <w:r w:rsidR="00063A6B">
        <w:rPr>
          <w:rFonts w:ascii="Times New Roman" w:hAnsi="Times New Roman" w:cs="Times New Roman"/>
          <w:color w:val="000000"/>
          <w:sz w:val="24"/>
          <w:szCs w:val="24"/>
        </w:rPr>
        <w:t xml:space="preserve">safety at work: A framework for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linking safety climate to safety performance, knowle</w:t>
      </w:r>
      <w:r w:rsidR="00063A6B">
        <w:rPr>
          <w:rFonts w:ascii="Times New Roman" w:hAnsi="Times New Roman" w:cs="Times New Roman"/>
          <w:color w:val="000000"/>
          <w:sz w:val="24"/>
          <w:szCs w:val="24"/>
        </w:rPr>
        <w:t xml:space="preserve">dge, and motivation. Journal of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Occupational Health Psychology, 5,347-358.</w:t>
      </w:r>
    </w:p>
    <w:p w:rsidR="00063A6B" w:rsidRPr="00CD43D6" w:rsidRDefault="00063A6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Hair, J. F., Money, A. H., Samouel, P. &amp; Page, </w:t>
      </w:r>
      <w:r w:rsidR="00063A6B">
        <w:rPr>
          <w:rFonts w:ascii="Times New Roman" w:hAnsi="Times New Roman" w:cs="Times New Roman"/>
          <w:color w:val="000000"/>
          <w:sz w:val="24"/>
          <w:szCs w:val="24"/>
        </w:rPr>
        <w:t xml:space="preserve">M. (2007). Research methods for business.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England: John Wiley &amp; Sons, Ltd.</w:t>
      </w:r>
    </w:p>
    <w:p w:rsidR="00063A6B" w:rsidRPr="00CD43D6" w:rsidRDefault="00063A6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Heinrich, H.W. (1980). “Industrial Accident </w:t>
      </w:r>
      <w:r w:rsidR="00063A6B">
        <w:rPr>
          <w:rFonts w:ascii="Times New Roman" w:hAnsi="Times New Roman" w:cs="Times New Roman"/>
          <w:color w:val="000000"/>
          <w:sz w:val="24"/>
          <w:szCs w:val="24"/>
        </w:rPr>
        <w:t xml:space="preserve">Prevention: A Safety Management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Approach.” New York: McGraw-Hill Inc.</w:t>
      </w:r>
    </w:p>
    <w:p w:rsidR="00063A6B" w:rsidRPr="00CD43D6" w:rsidRDefault="00063A6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Hofmann, D.A., Burke, M.J., Zohar, D., (2017). “1</w:t>
      </w:r>
      <w:r w:rsidR="00063A6B">
        <w:rPr>
          <w:rFonts w:ascii="Times New Roman" w:hAnsi="Times New Roman" w:cs="Times New Roman"/>
          <w:color w:val="000000"/>
          <w:sz w:val="24"/>
          <w:szCs w:val="24"/>
        </w:rPr>
        <w:t xml:space="preserve">00 years of occupational safety research: From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basic protections and work analysis to a multilevel view of </w:t>
      </w:r>
      <w:r w:rsidR="00063A6B">
        <w:rPr>
          <w:rFonts w:ascii="Times New Roman" w:hAnsi="Times New Roman" w:cs="Times New Roman"/>
          <w:color w:val="000000"/>
          <w:sz w:val="24"/>
          <w:szCs w:val="24"/>
        </w:rPr>
        <w:t xml:space="preserve">workplace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safety”</w:t>
      </w: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A6B" w:rsidRPr="00CD43D6" w:rsidRDefault="00063A6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Holte, K.A., Kjestveit, K., (2012). “Young workers i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>n the construction industry and initial OSH-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training when entering work life.” Work 41 (Supplement 1), 4137–4141.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1B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Ilham, R., (2016). “Maut cuci tangki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gas.” Berita Harian, 26 Oktober </w:t>
      </w:r>
    </w:p>
    <w:p w:rsidR="0066231B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Ismail Bahari. (2002). Pengaturaan sendiri di d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alam pengurusan keselamatan dan kesihatan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pekerjaan.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Mc GrawHill Education. Kuala Lumpur.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Kamus Dewan (2005). Kuala Lumpur: Dewan Bahasa dan Pustaka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Khanzode, V.V., Maiti, J., Ray, P.K., (2012). “Occupationa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l injury and accident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research: a comprehensive review.” Saf. Sci. 50 (5), 1355–1367.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Krejcie, R.V. &amp; Morgan, D.W. (1970). “Deter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mining sample size for research activities.”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Educational and Psychological Measurement, 30, 607-610.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López-Arquillos, A., Rubio-Romero, J.C., Martinez-A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ires, M.D., (2015). “Prevention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through Design (PtD). The importance of the concept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in Engineering and Architecture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university courses.” Saf. Sci. 73, 8–14.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M.D., Fallentin, N., Andersen, L.L., (2017). “Safety climate and accidents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 at work: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Crosssectional study among 15,000 workers of the ge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neral working population.” Saf.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Sci. 91, 320–325.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Mahathevan, R. (1984). "Occupational Health and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Industrial Safety: Proposal for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legislative reform. safety at work in malaysia: an anthology o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f current research."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Institute of Advance Studies, Seminar Proceedings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PRO No 6, University of Malaya,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Kuala Lumpur. (1991)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43D6">
        <w:rPr>
          <w:rFonts w:ascii="Times New Roman" w:hAnsi="Times New Roman" w:cs="Times New Roman"/>
          <w:color w:val="333333"/>
          <w:sz w:val="24"/>
          <w:szCs w:val="24"/>
        </w:rPr>
        <w:t>Mohd Soffian Osman (2019, Mac 10). Kese</w:t>
      </w:r>
      <w:r w:rsidR="0066231B">
        <w:rPr>
          <w:rFonts w:ascii="Times New Roman" w:hAnsi="Times New Roman" w:cs="Times New Roman"/>
          <w:color w:val="333333"/>
          <w:sz w:val="24"/>
          <w:szCs w:val="24"/>
        </w:rPr>
        <w:t xml:space="preserve">lamatan dan kesihatan pekerjaan </w:t>
      </w:r>
      <w:r w:rsidRPr="00CD43D6">
        <w:rPr>
          <w:rFonts w:ascii="Times New Roman" w:hAnsi="Times New Roman" w:cs="Times New Roman"/>
          <w:color w:val="333333"/>
          <w:sz w:val="24"/>
          <w:szCs w:val="24"/>
        </w:rPr>
        <w:t xml:space="preserve">tanggungjawab siapa?. </w:t>
      </w:r>
      <w:hyperlink r:id="rId5" w:history="1">
        <w:r w:rsidR="0066231B" w:rsidRPr="0075177B">
          <w:rPr>
            <w:rStyle w:val="Hyperlink"/>
            <w:rFonts w:ascii="Times New Roman" w:hAnsi="Times New Roman" w:cs="Times New Roman"/>
            <w:sz w:val="24"/>
            <w:szCs w:val="24"/>
          </w:rPr>
          <w:t>https://osh.upm.edu.my/artikel/keselamatan_dan_kesihatan_pekerjaan_tanggungjawab_siapa-50239</w:t>
        </w:r>
      </w:hyperlink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Mullen, J., Kelloway, E.K., Teed, M., (2017)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. “Employer safety obligations, transformational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leadership and their interac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tive effects on employee safety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performance.” Saf. Sci. 91, 405–412.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Mustazar Mansur dan Ho Shu Piang. (2009), “Keber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kesanan latihan keselamatan dan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kesihatan dalam mengurangkan kemalanga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n di tempat kerja.” Persidangan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Kebangsaan Ekonomi Malaysia (PERKEM IV), Jilid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2, 293-244. Kuantan, Pahang, 2-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4 Jun 2009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National Institute of Occupational Safety dan Healt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h (2000). “Comprehensive safety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NIOSH (2011). Occupational Safety and Health Ac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t and Regulations 2011 Edition.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Kuala Lumpur: MDC Publisher Sdn .Bhd.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lastRenderedPageBreak/>
        <w:t>Notoatmodjo, S. (2003). “Ilmu kesehatan masyarakat prinsip-prinsip dasar.” Jakarta: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PT. Rineka Cipta.</w:t>
      </w: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Nur Fazreen Sallehuddin. (2013). “Kesedaran te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rhadap amalan keselamatan dalam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kalangan pelajar di makmal kejuruteraan UT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HM.” Universiti Tun Hussein Onn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Malaysia: Tesis Sarjana.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1B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Occupational Safety and Health Act, (2006). Occupational Safety and Health Act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(OSHA). (1994). Department of Occupational Safet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y and Health, Ministry of Human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Resources Malaysia (2006). 2017. [cite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d 3 April 2017]. Available from </w:t>
      </w:r>
      <w:hyperlink r:id="rId6" w:history="1">
        <w:r w:rsidR="0066231B" w:rsidRPr="0075177B">
          <w:rPr>
            <w:rStyle w:val="Hyperlink"/>
            <w:rFonts w:ascii="Times New Roman" w:hAnsi="Times New Roman" w:cs="Times New Roman"/>
            <w:sz w:val="24"/>
            <w:szCs w:val="24"/>
          </w:rPr>
          <w:t>http://www.mglsd.go.ug/laws/occupational%20saftey%20and%20Health%20Act%202006.pdf</w:t>
        </w:r>
      </w:hyperlink>
    </w:p>
    <w:p w:rsidR="0066231B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Overheul, V. (2001) “20 years of safety.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” WACO: Stevens Publishing Corp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Recommendations.” United Kingdom: NIOSH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Ricci, F., Chiesi, A., Bisio, C., Panari, C., Pelosi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, A., (2016). “Effectiveness of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occupational health and safety training: a systematic review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with meta-analysis.” J.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Workplace Learn. 28 (6), 355–377.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Salkind, N. (2006). Exploring research (6th ed.). New Jersey: Pearson Prentice Hall.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1B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Samsul, A. R. (2001). Perkaitan antara pengurus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an berkesan dari segi kesediaan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pengurusan makmal dengan peningkatan ciri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-ciri keselamatan makmal. Kolej Universiti Teknologi Tun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Hussein Onn: Tes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is Sarjana Pendidikan Teknikal. </w:t>
      </w:r>
    </w:p>
    <w:p w:rsidR="0066231B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Vinodkumar, M.N., &amp; Bhasi, M. (2010). ”Safety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management practices and safety behaviour: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Assessing the mediating role of safety knowledge and mo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tivation.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Accident Analysis and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 Prevention,” 42(6), 2082–2093. </w:t>
      </w:r>
      <w:hyperlink r:id="rId7" w:history="1">
        <w:r w:rsidR="0066231B" w:rsidRPr="0075177B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http://doi.org/10.1016/j.aap.2010.06.021</w:t>
        </w:r>
      </w:hyperlink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1B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Volberg, V., Fordyce, T., Leonhard, M., Mezei, G., Ve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rgara, X., Krishen, L., (2017).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 xml:space="preserve">“Injuries among electric power industry workers.” 1995–2013. J. 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Saf. Res. 60, 9–16 </w:t>
      </w:r>
    </w:p>
    <w:p w:rsidR="0066231B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Zulkifly, S.S.,Subramaniam,C. &amp; Hasan,N.H.(20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15). Examining the influence of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safety leadership towards safety behaviour in SM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E manufacturing. In: Scientific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International Conference of Occupational Safety and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 Health , 14-16 December 2016 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Persada International Conference Centre, Johor, Malaysia</w:t>
      </w:r>
    </w:p>
    <w:p w:rsidR="0066231B" w:rsidRPr="00CD43D6" w:rsidRDefault="0066231B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3D6" w:rsidRPr="00CD43D6" w:rsidRDefault="00CD43D6" w:rsidP="006623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D6">
        <w:rPr>
          <w:rFonts w:ascii="Times New Roman" w:hAnsi="Times New Roman" w:cs="Times New Roman"/>
          <w:color w:val="000000"/>
          <w:sz w:val="24"/>
          <w:szCs w:val="24"/>
        </w:rPr>
        <w:t>Zolkufli, AH,. &amp; Faiz A. (2012). Tahap kesedara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n staf UTM terhadap keselamatan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pekerjaan di makmal dan bengkel kejuruteraan. Jou</w:t>
      </w:r>
      <w:r w:rsidR="0066231B">
        <w:rPr>
          <w:rFonts w:ascii="Times New Roman" w:hAnsi="Times New Roman" w:cs="Times New Roman"/>
          <w:color w:val="000000"/>
          <w:sz w:val="24"/>
          <w:szCs w:val="24"/>
        </w:rPr>
        <w:t xml:space="preserve">rnal of Educational Management, </w:t>
      </w:r>
      <w:r w:rsidRPr="00CD43D6">
        <w:rPr>
          <w:rFonts w:ascii="Times New Roman" w:hAnsi="Times New Roman" w:cs="Times New Roman"/>
          <w:color w:val="000000"/>
          <w:sz w:val="24"/>
          <w:szCs w:val="24"/>
        </w:rPr>
        <w:t>6, 36-51.</w:t>
      </w:r>
    </w:p>
    <w:p w:rsidR="00AE6543" w:rsidRPr="00CD43D6" w:rsidRDefault="00AE6543" w:rsidP="0066231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6543" w:rsidRPr="00CD43D6" w:rsidSect="00AB1C8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3"/>
    <w:rsid w:val="00063A6B"/>
    <w:rsid w:val="00401F5E"/>
    <w:rsid w:val="0066231B"/>
    <w:rsid w:val="009F6446"/>
    <w:rsid w:val="00AE6543"/>
    <w:rsid w:val="00B70595"/>
    <w:rsid w:val="00C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.org/10.1016/j.aap.2010.06.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lsd.go.ug/laws/occupational%20saftey%20and%20Health%20Act%202006.pdf" TargetMode="External"/><Relationship Id="rId5" Type="http://schemas.openxmlformats.org/officeDocument/2006/relationships/hyperlink" Target="https://osh.upm.edu.my/artikel/keselamatan_dan_kesihatan_pekerjaan_tanggungjawab_siapa-502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EliteOne800</dc:creator>
  <cp:keywords/>
  <dc:description/>
  <cp:lastModifiedBy>EliteOne800</cp:lastModifiedBy>
  <cp:revision>10</cp:revision>
  <dcterms:created xsi:type="dcterms:W3CDTF">2021-05-31T02:07:00Z</dcterms:created>
  <dcterms:modified xsi:type="dcterms:W3CDTF">2021-05-31T02:29:00Z</dcterms:modified>
</cp:coreProperties>
</file>