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bookmarkStart w:name="APPENDIX" w:id="2"/>
      <w:bookmarkEnd w:id="2"/>
      <w:r>
        <w:rPr>
          <w:b w:val="0"/>
        </w:rPr>
      </w:r>
      <w:r>
        <w:rPr/>
        <w:t>REFERENCES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line="480" w:lineRule="auto" w:before="169"/>
        <w:ind w:right="122"/>
      </w:pPr>
      <w:r>
        <w:rPr/>
        <w:t>Afza, T., &amp; Nasir, M.S. (2007).Is it better to be aggressive or conservative in</w:t>
      </w:r>
      <w:r>
        <w:rPr>
          <w:spacing w:val="1"/>
        </w:rPr>
        <w:t> </w:t>
      </w:r>
      <w:r>
        <w:rPr/>
        <w:t>Managing Working Capital? Journal of Quality and Technology Management,</w:t>
      </w:r>
      <w:r>
        <w:rPr>
          <w:spacing w:val="1"/>
        </w:rPr>
        <w:t> </w:t>
      </w:r>
      <w:r>
        <w:rPr/>
        <w:t>3(2),</w:t>
      </w:r>
      <w:r>
        <w:rPr>
          <w:spacing w:val="-1"/>
        </w:rPr>
        <w:t> </w:t>
      </w:r>
      <w:r>
        <w:rPr/>
        <w:t>11-21.</w:t>
      </w:r>
    </w:p>
    <w:p>
      <w:pPr>
        <w:pStyle w:val="BodyText"/>
        <w:spacing w:line="482" w:lineRule="auto" w:before="202"/>
        <w:ind w:right="119"/>
      </w:pPr>
      <w:r>
        <w:rPr/>
        <w:t>Alshubiri,</w:t>
      </w:r>
      <w:r>
        <w:rPr>
          <w:spacing w:val="1"/>
        </w:rPr>
        <w:t> </w:t>
      </w:r>
      <w:r>
        <w:rPr/>
        <w:t>F.N.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Management: Evidence from Jordan. Global Journal of Business Research, 5(1),</w:t>
      </w:r>
      <w:r>
        <w:rPr>
          <w:spacing w:val="1"/>
        </w:rPr>
        <w:t> </w:t>
      </w:r>
      <w:r>
        <w:rPr/>
        <w:t>39-54.</w:t>
      </w:r>
    </w:p>
    <w:p>
      <w:pPr>
        <w:pStyle w:val="BodyText"/>
        <w:spacing w:line="480" w:lineRule="auto" w:before="192"/>
        <w:ind w:right="12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696762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Almazari, A.A. (2013). The Relationship between Working Capital Management</w:t>
      </w:r>
      <w:r>
        <w:rPr>
          <w:spacing w:val="1"/>
        </w:rPr>
        <w:t> </w:t>
      </w:r>
      <w:r>
        <w:rPr/>
        <w:t>and Profitability: evidence from Saudi Cement Companies. British Journal of</w:t>
      </w:r>
      <w:r>
        <w:rPr>
          <w:spacing w:val="1"/>
        </w:rPr>
        <w:t> </w:t>
      </w:r>
      <w:bookmarkStart w:name="MAIN PAGE" w:id="3"/>
      <w:bookmarkEnd w:id="3"/>
      <w:r>
        <w:rPr/>
        <w:t>E</w:t>
      </w:r>
      <w:r>
        <w:rPr/>
        <w:t>conomies</w:t>
      </w:r>
      <w:r>
        <w:rPr>
          <w:spacing w:val="-1"/>
        </w:rPr>
        <w:t> </w:t>
      </w:r>
      <w:r>
        <w:rPr/>
        <w:t>Management &amp;</w:t>
      </w:r>
      <w:r>
        <w:rPr>
          <w:spacing w:val="-2"/>
        </w:rPr>
        <w:t> </w:t>
      </w:r>
      <w:r>
        <w:rPr/>
        <w:t>Trade</w:t>
      </w:r>
      <w:r>
        <w:rPr>
          <w:spacing w:val="-1"/>
        </w:rPr>
        <w:t> </w:t>
      </w:r>
      <w:r>
        <w:rPr/>
        <w:t>4(1)</w:t>
      </w:r>
    </w:p>
    <w:p>
      <w:pPr>
        <w:pStyle w:val="BodyText"/>
        <w:spacing w:line="482" w:lineRule="auto"/>
        <w:ind w:right="121"/>
      </w:pPr>
      <w:r>
        <w:rPr/>
        <w:t>Akoto,R.K.,</w:t>
      </w:r>
      <w:r>
        <w:rPr>
          <w:spacing w:val="1"/>
        </w:rPr>
        <w:t> </w:t>
      </w:r>
      <w:r>
        <w:rPr/>
        <w:t>Awunyo-Vitor,</w:t>
      </w:r>
      <w:r>
        <w:rPr>
          <w:spacing w:val="1"/>
        </w:rPr>
        <w:t> </w:t>
      </w:r>
      <w:r>
        <w:rPr/>
        <w:t>D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Angmor,</w:t>
      </w:r>
      <w:r>
        <w:rPr>
          <w:spacing w:val="1"/>
        </w:rPr>
        <w:t> </w:t>
      </w:r>
      <w:r>
        <w:rPr/>
        <w:t>P.L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-57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profitability: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Ghanaian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firms.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Economics and International Finance,5(9),373</w:t>
      </w:r>
      <w:r>
        <w:rPr>
          <w:spacing w:val="4"/>
        </w:rPr>
        <w:t> </w:t>
      </w:r>
      <w:r>
        <w:rPr/>
        <w:t>-379</w:t>
      </w:r>
    </w:p>
    <w:p>
      <w:pPr>
        <w:pStyle w:val="BodyText"/>
        <w:spacing w:line="482" w:lineRule="auto" w:before="191"/>
        <w:ind w:right="115"/>
      </w:pPr>
      <w:r>
        <w:rPr/>
        <w:t>Deloof, M. (2003). Does Working Capital Management Affect Profitability of</w:t>
      </w:r>
      <w:r>
        <w:rPr>
          <w:spacing w:val="1"/>
        </w:rPr>
        <w:t> </w:t>
      </w:r>
      <w:r>
        <w:rPr/>
        <w:t>Belgian Firms?</w:t>
      </w:r>
      <w:r>
        <w:rPr>
          <w:spacing w:val="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Finance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Accounting,</w:t>
      </w:r>
      <w:r>
        <w:rPr>
          <w:spacing w:val="-1"/>
        </w:rPr>
        <w:t> </w:t>
      </w:r>
      <w:r>
        <w:rPr/>
        <w:t>30(3),</w:t>
      </w:r>
      <w:r>
        <w:rPr>
          <w:spacing w:val="-1"/>
        </w:rPr>
        <w:t> </w:t>
      </w:r>
      <w:r>
        <w:rPr/>
        <w:t>573-587.</w:t>
      </w:r>
    </w:p>
    <w:p>
      <w:pPr>
        <w:pStyle w:val="BodyText"/>
        <w:spacing w:line="482" w:lineRule="auto" w:before="197"/>
        <w:ind w:right="120"/>
      </w:pPr>
      <w:r>
        <w:rPr/>
        <w:t>Eljelly,</w:t>
      </w:r>
      <w:r>
        <w:rPr>
          <w:spacing w:val="1"/>
        </w:rPr>
        <w:t> </w:t>
      </w:r>
      <w:r>
        <w:rPr/>
        <w:t>A.M.A.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Liquidity-profitability</w:t>
      </w:r>
      <w:r>
        <w:rPr>
          <w:spacing w:val="1"/>
        </w:rPr>
        <w:t> </w:t>
      </w:r>
      <w:r>
        <w:rPr/>
        <w:t>Tradeoff: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Market.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Commerce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14(1), 48-61.</w:t>
      </w:r>
    </w:p>
    <w:p>
      <w:pPr>
        <w:pStyle w:val="BodyText"/>
        <w:spacing w:line="480" w:lineRule="auto" w:before="191"/>
        <w:ind w:right="122"/>
      </w:pPr>
      <w:r>
        <w:rPr/>
        <w:t>Filbeck,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Kruegar,</w:t>
      </w:r>
      <w:r>
        <w:rPr>
          <w:spacing w:val="1"/>
        </w:rPr>
        <w:t> </w:t>
      </w:r>
      <w:r>
        <w:rPr/>
        <w:t>T.M.</w:t>
      </w:r>
      <w:r>
        <w:rPr>
          <w:spacing w:val="1"/>
        </w:rPr>
        <w:t> </w:t>
      </w:r>
      <w:r>
        <w:rPr/>
        <w:t>(2005).An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 results Across Industries. International Journal of Business, 20(2),</w:t>
      </w:r>
      <w:r>
        <w:rPr>
          <w:spacing w:val="1"/>
        </w:rPr>
        <w:t> </w:t>
      </w:r>
      <w:r>
        <w:rPr/>
        <w:t>11-18.</w:t>
      </w:r>
    </w:p>
    <w:p>
      <w:pPr>
        <w:spacing w:after="0" w:line="480" w:lineRule="auto"/>
        <w:sectPr>
          <w:footerReference w:type="default" r:id="rId5"/>
          <w:type w:val="continuous"/>
          <w:pgSz w:w="12240" w:h="15840"/>
          <w:pgMar w:footer="1014" w:header="0" w:top="1360" w:bottom="1200" w:left="1720" w:right="1320"/>
          <w:pgNumType w:start="62"/>
        </w:sectPr>
      </w:pPr>
    </w:p>
    <w:p>
      <w:pPr>
        <w:pStyle w:val="BodyText"/>
        <w:spacing w:line="480" w:lineRule="auto" w:before="72"/>
        <w:ind w:right="119"/>
      </w:pPr>
      <w:r>
        <w:rPr/>
        <w:t>Falope OI,Ajilore OT. Working Capital management and corporate profitability: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panel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quoted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Nigeria,Research</w:t>
      </w:r>
      <w:r>
        <w:rPr>
          <w:spacing w:val="-1"/>
        </w:rPr>
        <w:t> </w:t>
      </w:r>
      <w:r>
        <w:rPr/>
        <w:t>Journal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 Management 2009;</w:t>
      </w:r>
      <w:r>
        <w:rPr>
          <w:spacing w:val="-1"/>
        </w:rPr>
        <w:t> </w:t>
      </w:r>
      <w:r>
        <w:rPr/>
        <w:t>3(3):73-84.</w:t>
      </w:r>
    </w:p>
    <w:p>
      <w:pPr>
        <w:pStyle w:val="BodyText"/>
        <w:spacing w:line="480" w:lineRule="auto"/>
        <w:ind w:right="122"/>
      </w:pPr>
      <w:r>
        <w:rPr/>
        <w:t>Gill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Biger</w:t>
      </w:r>
      <w:r>
        <w:rPr>
          <w:spacing w:val="1"/>
        </w:rPr>
        <w:t> </w:t>
      </w:r>
      <w:r>
        <w:rPr/>
        <w:t>N,</w:t>
      </w:r>
      <w:r>
        <w:rPr>
          <w:spacing w:val="1"/>
        </w:rPr>
        <w:t> </w:t>
      </w:r>
      <w:r>
        <w:rPr/>
        <w:t>Mathur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 and Profitability: Evidence from the United States, Business and</w:t>
      </w:r>
      <w:r>
        <w:rPr>
          <w:spacing w:val="1"/>
        </w:rPr>
        <w:t> </w:t>
      </w:r>
      <w:r>
        <w:rPr/>
        <w:t>Economics</w:t>
      </w:r>
      <w:r>
        <w:rPr>
          <w:spacing w:val="-1"/>
        </w:rPr>
        <w:t> </w:t>
      </w:r>
      <w:r>
        <w:rPr/>
        <w:t>Journal. 2010, 1-9.</w:t>
      </w:r>
    </w:p>
    <w:p>
      <w:pPr>
        <w:pStyle w:val="BodyText"/>
        <w:spacing w:line="482" w:lineRule="auto" w:before="203"/>
        <w:ind w:right="125"/>
      </w:pPr>
      <w:r>
        <w:rPr/>
        <w:t>Ganesan, V. (2007). An analysis of working capital management efficiency in</w:t>
      </w:r>
      <w:r>
        <w:rPr>
          <w:spacing w:val="1"/>
        </w:rPr>
        <w:t> </w:t>
      </w:r>
      <w:r>
        <w:rPr/>
        <w:t>Telecommunication</w:t>
      </w:r>
      <w:r>
        <w:rPr>
          <w:spacing w:val="-2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Industry.</w:t>
      </w:r>
      <w:r>
        <w:rPr>
          <w:spacing w:val="-2"/>
        </w:rPr>
        <w:t> </w:t>
      </w:r>
      <w:r>
        <w:rPr/>
        <w:t>Rivier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Journal,</w:t>
      </w:r>
      <w:r>
        <w:rPr>
          <w:spacing w:val="-2"/>
        </w:rPr>
        <w:t> </w:t>
      </w:r>
      <w:r>
        <w:rPr/>
        <w:t>3(2),</w:t>
      </w:r>
      <w:r>
        <w:rPr>
          <w:spacing w:val="-1"/>
        </w:rPr>
        <w:t> </w:t>
      </w:r>
      <w:r>
        <w:rPr/>
        <w:t>116-125.</w:t>
      </w:r>
    </w:p>
    <w:p>
      <w:pPr>
        <w:pStyle w:val="BodyText"/>
        <w:spacing w:line="480" w:lineRule="auto" w:before="193"/>
        <w:ind w:right="1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346876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Gul, S., Khan,M. B., Raheman,S.U.,Khan,M.,&amp;Khan,W. (2013). Working capital</w:t>
      </w:r>
      <w:r>
        <w:rPr>
          <w:spacing w:val="1"/>
        </w:rPr>
        <w:t> </w:t>
      </w:r>
      <w:r>
        <w:rPr/>
        <w:t>management and performance of SME sector. European Journal of Business and</w:t>
      </w:r>
      <w:r>
        <w:rPr>
          <w:spacing w:val="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5(1),60-68</w:t>
      </w:r>
    </w:p>
    <w:p>
      <w:pPr>
        <w:pStyle w:val="BodyText"/>
        <w:spacing w:line="480" w:lineRule="auto" w:before="200"/>
        <w:ind w:right="121"/>
      </w:pPr>
      <w:r>
        <w:rPr/>
        <w:t>Garcia – Teruel, P.J., &amp; Martinez – Solano,P,(2007. Effects of working capital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SME</w:t>
      </w:r>
      <w:r>
        <w:rPr>
          <w:spacing w:val="1"/>
        </w:rPr>
        <w:t> </w:t>
      </w:r>
      <w:r>
        <w:rPr/>
        <w:t>profitability.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Managerial</w:t>
      </w:r>
      <w:r>
        <w:rPr>
          <w:spacing w:val="1"/>
        </w:rPr>
        <w:t> </w:t>
      </w:r>
      <w:r>
        <w:rPr/>
        <w:t>Finance,3(2),</w:t>
      </w:r>
      <w:r>
        <w:rPr>
          <w:spacing w:val="-1"/>
        </w:rPr>
        <w:t> </w:t>
      </w:r>
      <w:r>
        <w:rPr/>
        <w:t>164 – 177</w:t>
      </w:r>
    </w:p>
    <w:p>
      <w:pPr>
        <w:spacing w:line="482" w:lineRule="auto" w:before="200"/>
        <w:ind w:left="1160" w:right="118" w:firstLine="0"/>
        <w:jc w:val="both"/>
        <w:rPr>
          <w:sz w:val="24"/>
        </w:rPr>
      </w:pPr>
      <w:r>
        <w:rPr>
          <w:sz w:val="24"/>
        </w:rPr>
        <w:t>Kaharuddin, F. S., &amp; Mazlan, A. R. (2018). The Relationship between Working</w:t>
      </w:r>
      <w:r>
        <w:rPr>
          <w:spacing w:val="1"/>
          <w:sz w:val="24"/>
        </w:rPr>
        <w:t> </w:t>
      </w:r>
      <w:r>
        <w:rPr>
          <w:sz w:val="24"/>
        </w:rPr>
        <w:t>Capital Management and Profitability of Bumiputera-Controlled Companies in</w:t>
      </w:r>
      <w:r>
        <w:rPr>
          <w:spacing w:val="1"/>
          <w:sz w:val="24"/>
        </w:rPr>
        <w:t> </w:t>
      </w:r>
      <w:r>
        <w:rPr>
          <w:sz w:val="24"/>
        </w:rPr>
        <w:t>Malaysia. </w:t>
      </w:r>
      <w:r>
        <w:rPr>
          <w:i/>
          <w:sz w:val="24"/>
        </w:rPr>
        <w:t>Indian-Pacific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24-34.</w:t>
      </w:r>
    </w:p>
    <w:p>
      <w:pPr>
        <w:pStyle w:val="BodyText"/>
        <w:spacing w:line="480" w:lineRule="auto" w:before="194"/>
        <w:ind w:right="119"/>
      </w:pPr>
      <w:r>
        <w:rPr/>
        <w:t>Lazaridis,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Tryfonidis,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(2006).Relationship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 and Profitability of listed companies in the Athens Stock Exchange.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Financial Management and</w:t>
      </w:r>
      <w:r>
        <w:rPr>
          <w:spacing w:val="-1"/>
        </w:rPr>
        <w:t> </w:t>
      </w:r>
      <w:r>
        <w:rPr/>
        <w:t>Analysis, 19(1), 26-35.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line="480" w:lineRule="auto" w:before="72"/>
        <w:ind w:right="124"/>
      </w:pPr>
      <w:r>
        <w:rPr/>
        <w:t>Mathuva,</w:t>
      </w:r>
      <w:r>
        <w:rPr>
          <w:spacing w:val="1"/>
        </w:rPr>
        <w:t> </w:t>
      </w:r>
      <w:r>
        <w:rPr/>
        <w:t>D.M.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Profitability: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Kenyan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Firms.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Journal of</w:t>
      </w:r>
      <w:r>
        <w:rPr>
          <w:spacing w:val="1"/>
        </w:rPr>
        <w:t> </w:t>
      </w:r>
      <w:r>
        <w:rPr/>
        <w:t>Business Management,</w:t>
      </w:r>
      <w:r>
        <w:rPr>
          <w:spacing w:val="-1"/>
        </w:rPr>
        <w:t> </w:t>
      </w:r>
      <w:r>
        <w:rPr/>
        <w:t>4(1),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/>
        <w:t>– 11.</w:t>
      </w:r>
    </w:p>
    <w:p>
      <w:pPr>
        <w:pStyle w:val="BodyText"/>
        <w:spacing w:line="480" w:lineRule="auto"/>
        <w:ind w:right="117"/>
      </w:pPr>
      <w:r>
        <w:rPr/>
        <w:t>Mohamad,N.E.A.B,Saad,N.B.M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Management: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 of Market Valuation and profitability in Malaysia. International Journal of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and Management, 5(11),140-147</w:t>
      </w:r>
    </w:p>
    <w:p>
      <w:pPr>
        <w:pStyle w:val="BodyText"/>
        <w:spacing w:line="482" w:lineRule="auto" w:before="203"/>
        <w:ind w:right="121"/>
      </w:pPr>
      <w:r>
        <w:rPr/>
        <w:t>Mekonnen, M. (2011). The impacts</w:t>
      </w:r>
      <w:r>
        <w:rPr>
          <w:spacing w:val="1"/>
        </w:rPr>
        <w:t> </w:t>
      </w:r>
      <w:r>
        <w:rPr/>
        <w:t>of working capital management</w:t>
      </w:r>
      <w:r>
        <w:rPr>
          <w:spacing w:val="1"/>
        </w:rPr>
        <w:t> </w:t>
      </w:r>
      <w:r>
        <w:rPr/>
        <w:t>of firms</w:t>
      </w:r>
      <w:r>
        <w:rPr>
          <w:spacing w:val="1"/>
        </w:rPr>
        <w:t> </w:t>
      </w:r>
      <w:r>
        <w:rPr/>
        <w:t>profitability.</w:t>
      </w:r>
    </w:p>
    <w:p>
      <w:pPr>
        <w:pStyle w:val="BodyText"/>
        <w:spacing w:line="480" w:lineRule="auto" w:before="193"/>
        <w:ind w:right="12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346876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Nyabwanga,R.N.,Ojera, P., Lumumba, M.m Odondo,A.J., &amp; Otieno, S. (2011).</w:t>
      </w:r>
      <w:r>
        <w:rPr>
          <w:spacing w:val="1"/>
        </w:rPr>
        <w:t> </w:t>
      </w:r>
      <w:r>
        <w:rPr/>
        <w:t>Effect of Working Capital Management practices on financial performance: A</w:t>
      </w:r>
      <w:r>
        <w:rPr>
          <w:spacing w:val="1"/>
        </w:rPr>
        <w:t> </w:t>
      </w:r>
      <w:r>
        <w:rPr/>
        <w:t>Study of small scale enterprise in Kisii South District,Kenya. African Journal of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Management, 6(18)</w:t>
      </w:r>
      <w:r>
        <w:rPr>
          <w:spacing w:val="-2"/>
        </w:rPr>
        <w:t> </w:t>
      </w:r>
      <w:r>
        <w:rPr/>
        <w:t>5807</w:t>
      </w:r>
      <w:r>
        <w:rPr>
          <w:spacing w:val="1"/>
        </w:rPr>
        <w:t> </w:t>
      </w:r>
      <w:r>
        <w:rPr/>
        <w:t>-5817</w:t>
      </w:r>
    </w:p>
    <w:p>
      <w:pPr>
        <w:pStyle w:val="BodyText"/>
        <w:spacing w:line="482" w:lineRule="auto" w:before="200"/>
        <w:ind w:right="122"/>
      </w:pPr>
      <w:r>
        <w:rPr/>
        <w:t>Nazir,</w:t>
      </w:r>
      <w:r>
        <w:rPr>
          <w:spacing w:val="1"/>
        </w:rPr>
        <w:t> </w:t>
      </w:r>
      <w:r>
        <w:rPr/>
        <w:t>M.S.,Afza,T.(2008).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requirements.</w:t>
      </w:r>
      <w:r>
        <w:rPr>
          <w:spacing w:val="-1"/>
        </w:rPr>
        <w:t> </w:t>
      </w:r>
      <w:r>
        <w:rPr/>
        <w:t>Proceedings of ASBBS, 15(1),293 -301</w:t>
      </w:r>
    </w:p>
    <w:p>
      <w:pPr>
        <w:pStyle w:val="BodyText"/>
        <w:spacing w:line="482" w:lineRule="auto" w:before="194"/>
        <w:ind w:right="123"/>
      </w:pPr>
      <w:r>
        <w:rPr/>
        <w:t>Nasruddin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Liquidity-profitability trade</w:t>
      </w:r>
      <w:r>
        <w:rPr>
          <w:spacing w:val="1"/>
        </w:rPr>
        <w:t> </w:t>
      </w:r>
      <w:r>
        <w:rPr/>
        <w:t>off: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evident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Malaysian</w:t>
      </w:r>
      <w:r>
        <w:rPr>
          <w:spacing w:val="1"/>
        </w:rPr>
        <w:t> </w:t>
      </w:r>
      <w:r>
        <w:rPr/>
        <w:t>SMEs?</w:t>
      </w:r>
      <w:r>
        <w:rPr>
          <w:spacing w:val="2"/>
        </w:rPr>
        <w:t> </w:t>
      </w:r>
      <w:r>
        <w:rPr/>
        <w:t>IJMS. 2006; 13(2):107-118.</w:t>
      </w:r>
    </w:p>
    <w:p>
      <w:pPr>
        <w:pStyle w:val="BodyText"/>
        <w:spacing w:line="480" w:lineRule="auto" w:before="197"/>
        <w:ind w:right="122"/>
      </w:pPr>
      <w:r>
        <w:rPr/>
        <w:t>Nor Edi Azhar M, NorizaMS. Working capital management: The effect of market</w:t>
      </w:r>
      <w:r>
        <w:rPr>
          <w:spacing w:val="1"/>
        </w:rPr>
        <w:t> </w:t>
      </w:r>
      <w:r>
        <w:rPr/>
        <w:t>valuation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profitability in</w:t>
      </w:r>
      <w:r>
        <w:rPr>
          <w:spacing w:val="1"/>
        </w:rPr>
        <w:t> </w:t>
      </w:r>
      <w:r>
        <w:rPr/>
        <w:t>Malaysia,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Management.</w:t>
      </w:r>
      <w:r>
        <w:rPr>
          <w:spacing w:val="-1"/>
        </w:rPr>
        <w:t> </w:t>
      </w:r>
      <w:r>
        <w:rPr/>
        <w:t>2010; 5(11):140-147.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line="480" w:lineRule="auto" w:before="72"/>
        <w:ind w:right="122"/>
      </w:pPr>
      <w:r>
        <w:rPr/>
        <w:t>Oladipupo,A.O., &amp; Okafor, C.A. (2013). Relative contribution of</w:t>
      </w:r>
      <w:r>
        <w:rPr>
          <w:spacing w:val="1"/>
        </w:rPr>
        <w:t> </w:t>
      </w:r>
      <w:r>
        <w:rPr/>
        <w:t>working capital</w:t>
      </w:r>
      <w:r>
        <w:rPr>
          <w:spacing w:val="-57"/>
        </w:rPr>
        <w:t> </w:t>
      </w:r>
      <w:r>
        <w:rPr/>
        <w:t>management to corporate profitability and dividend payout ratio: Evidence from</w:t>
      </w:r>
      <w:r>
        <w:rPr>
          <w:spacing w:val="1"/>
        </w:rPr>
        <w:t> </w:t>
      </w:r>
      <w:r>
        <w:rPr/>
        <w:t>Nigeria.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 of Business</w:t>
      </w:r>
      <w:r>
        <w:rPr>
          <w:spacing w:val="-1"/>
        </w:rPr>
        <w:t> </w:t>
      </w:r>
      <w:r>
        <w:rPr/>
        <w:t>and Finance</w:t>
      </w:r>
      <w:r>
        <w:rPr>
          <w:spacing w:val="-2"/>
        </w:rPr>
        <w:t> </w:t>
      </w:r>
      <w:r>
        <w:rPr/>
        <w:t>Research,3(2),11-20.</w:t>
      </w:r>
    </w:p>
    <w:p>
      <w:pPr>
        <w:pStyle w:val="BodyText"/>
        <w:spacing w:line="480" w:lineRule="auto"/>
        <w:ind w:right="118"/>
      </w:pPr>
      <w:r>
        <w:rPr/>
        <w:t>Omesa,</w:t>
      </w:r>
      <w:r>
        <w:rPr>
          <w:spacing w:val="1"/>
        </w:rPr>
        <w:t> </w:t>
      </w:r>
      <w:r>
        <w:rPr/>
        <w:t>N,W.,</w:t>
      </w:r>
      <w:r>
        <w:rPr>
          <w:spacing w:val="1"/>
        </w:rPr>
        <w:t> </w:t>
      </w:r>
      <w:r>
        <w:rPr/>
        <w:t>Maniagi,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Musiega,D</w:t>
      </w:r>
      <w:r>
        <w:rPr>
          <w:spacing w:val="1"/>
        </w:rPr>
        <w:t> </w:t>
      </w:r>
      <w:r>
        <w:rPr/>
        <w:t>&amp;Makori,</w:t>
      </w:r>
      <w:r>
        <w:rPr>
          <w:spacing w:val="1"/>
        </w:rPr>
        <w:t> </w:t>
      </w:r>
      <w:r>
        <w:rPr/>
        <w:t>G.A.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refrenec</w:t>
      </w:r>
      <w:r>
        <w:rPr>
          <w:spacing w:val="61"/>
        </w:rPr>
        <w:t> </w:t>
      </w:r>
      <w:r>
        <w:rPr/>
        <w:t>to</w:t>
      </w:r>
      <w:r>
        <w:rPr>
          <w:spacing w:val="1"/>
        </w:rPr>
        <w:t> </w:t>
      </w:r>
      <w:r>
        <w:rPr/>
        <w:t>manufacturing firms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Nairobi</w:t>
      </w:r>
      <w:r>
        <w:rPr>
          <w:spacing w:val="1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Exchange.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Innovative</w:t>
      </w:r>
      <w:r>
        <w:rPr>
          <w:spacing w:val="-2"/>
        </w:rPr>
        <w:t> </w:t>
      </w:r>
      <w:r>
        <w:rPr/>
        <w:t>research and</w:t>
      </w:r>
      <w:r>
        <w:rPr>
          <w:spacing w:val="2"/>
        </w:rPr>
        <w:t> </w:t>
      </w:r>
      <w:r>
        <w:rPr/>
        <w:t>Development,2(9),177</w:t>
      </w:r>
      <w:r>
        <w:rPr>
          <w:spacing w:val="4"/>
        </w:rPr>
        <w:t> </w:t>
      </w:r>
      <w:r>
        <w:rPr/>
        <w:t>- 183</w:t>
      </w:r>
    </w:p>
    <w:p>
      <w:pPr>
        <w:pStyle w:val="BodyText"/>
        <w:spacing w:line="482" w:lineRule="auto" w:before="203"/>
        <w:ind w:right="12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830238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Ross SA, Westerfield RW, Jordan BD. Fundamentals of Corporate Finance, Ninth</w:t>
      </w:r>
      <w:r>
        <w:rPr>
          <w:spacing w:val="-57"/>
        </w:rPr>
        <w:t> </w:t>
      </w:r>
      <w:r>
        <w:rPr/>
        <w:t>Edition</w:t>
      </w:r>
      <w:r>
        <w:rPr>
          <w:spacing w:val="-1"/>
        </w:rPr>
        <w:t> </w:t>
      </w:r>
      <w:r>
        <w:rPr/>
        <w:t>(Alternate Edition).McGraw-Hill/Irwin., 2010.</w:t>
      </w:r>
    </w:p>
    <w:p>
      <w:pPr>
        <w:pStyle w:val="BodyText"/>
        <w:spacing w:line="482" w:lineRule="auto" w:before="194"/>
        <w:ind w:right="116"/>
      </w:pPr>
      <w:r>
        <w:rPr/>
        <w:t>Sharma, A.K., &amp; Kumar, S. (2011). Effect of Working Capital Management on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Profitability: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Business</w:t>
      </w:r>
      <w:r>
        <w:rPr>
          <w:spacing w:val="60"/>
        </w:rPr>
        <w:t> </w:t>
      </w:r>
      <w:r>
        <w:rPr/>
        <w:t>Review,</w:t>
      </w:r>
      <w:r>
        <w:rPr>
          <w:spacing w:val="1"/>
        </w:rPr>
        <w:t> </w:t>
      </w:r>
      <w:r>
        <w:rPr/>
        <w:t>12(1),</w:t>
      </w:r>
      <w:r>
        <w:rPr>
          <w:spacing w:val="-1"/>
        </w:rPr>
        <w:t> </w:t>
      </w:r>
      <w:r>
        <w:rPr/>
        <w:t>159 – 173.</w:t>
      </w:r>
    </w:p>
    <w:p>
      <w:pPr>
        <w:pStyle w:val="BodyText"/>
        <w:spacing w:line="480" w:lineRule="auto" w:before="191"/>
        <w:ind w:right="124"/>
      </w:pPr>
      <w:r>
        <w:rPr/>
        <w:t>Samiloglu, F.,Demirgunes,K.(2008). The Effect of Working Capital Management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Profitability: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Turkey.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-1"/>
        </w:rPr>
        <w:t> </w:t>
      </w:r>
      <w:r>
        <w:rPr/>
        <w:t>Economics and</w:t>
      </w:r>
      <w:r>
        <w:rPr>
          <w:spacing w:val="1"/>
        </w:rPr>
        <w:t> </w:t>
      </w:r>
      <w:r>
        <w:rPr/>
        <w:t>Finance,2,44-50</w:t>
      </w:r>
    </w:p>
    <w:p>
      <w:pPr>
        <w:pStyle w:val="BodyText"/>
        <w:spacing w:line="482" w:lineRule="auto"/>
        <w:ind w:right="113"/>
      </w:pPr>
      <w:r>
        <w:rPr/>
        <w:t>Solano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SME</w:t>
      </w:r>
      <w:r>
        <w:rPr>
          <w:spacing w:val="-57"/>
        </w:rPr>
        <w:t> </w:t>
      </w:r>
      <w:r>
        <w:rPr/>
        <w:t>Profitability. International Journal of Managerial Finance,Vol.3,No 2,pp.164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177,2007</w:t>
      </w:r>
    </w:p>
    <w:p>
      <w:pPr>
        <w:pStyle w:val="BodyText"/>
        <w:spacing w:line="480" w:lineRule="auto" w:before="194"/>
        <w:ind w:right="114"/>
      </w:pPr>
      <w:r>
        <w:rPr/>
        <w:t>Taleb,G.A.,Zoued,A.N.,</w:t>
      </w:r>
      <w:r>
        <w:rPr>
          <w:spacing w:val="1"/>
        </w:rPr>
        <w:t> </w:t>
      </w:r>
      <w:r>
        <w:rPr/>
        <w:t>Shubiri,F.N.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Working Capital Management Policy: A Case study on Jordon. Interdisciplinary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Contemporary</w:t>
      </w:r>
      <w:r>
        <w:rPr>
          <w:spacing w:val="-3"/>
        </w:rPr>
        <w:t> </w:t>
      </w:r>
      <w:r>
        <w:rPr/>
        <w:t>Research in</w:t>
      </w:r>
      <w:r>
        <w:rPr>
          <w:spacing w:val="1"/>
        </w:rPr>
        <w:t> </w:t>
      </w:r>
      <w:r>
        <w:rPr/>
        <w:t>Business,2(4),248</w:t>
      </w:r>
      <w:r>
        <w:rPr>
          <w:spacing w:val="2"/>
        </w:rPr>
        <w:t> </w:t>
      </w:r>
      <w:r>
        <w:rPr/>
        <w:t>– 264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line="480" w:lineRule="auto" w:before="72"/>
        <w:ind w:right="120"/>
      </w:pPr>
      <w:r>
        <w:rPr/>
        <w:t>Terual PJG. &amp;Pedro MS. (2007), „Effect of Working Capital Management on</w:t>
      </w:r>
      <w:r>
        <w:rPr>
          <w:spacing w:val="1"/>
        </w:rPr>
        <w:t> </w:t>
      </w:r>
      <w:r>
        <w:rPr/>
        <w:t>SME Profitability‟, International Journal of Managerial Finance,Vol.3,No.2 page</w:t>
      </w:r>
      <w:r>
        <w:rPr>
          <w:spacing w:val="1"/>
        </w:rPr>
        <w:t> </w:t>
      </w:r>
      <w:r>
        <w:rPr/>
        <w:t>164 – 177</w:t>
      </w:r>
    </w:p>
    <w:p>
      <w:pPr>
        <w:pStyle w:val="BodyText"/>
        <w:spacing w:line="480" w:lineRule="auto"/>
        <w:ind w:right="117"/>
      </w:pPr>
      <w:r>
        <w:rPr/>
        <w:t>Uyar, A. (2009). The relationship of cash conversion cycle with firm size and</w:t>
      </w:r>
      <w:r>
        <w:rPr>
          <w:spacing w:val="1"/>
        </w:rPr>
        <w:t> </w:t>
      </w:r>
      <w:r>
        <w:rPr/>
        <w:t>profitability: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Turkey.</w:t>
      </w:r>
      <w:r>
        <w:rPr>
          <w:spacing w:val="1"/>
        </w:rPr>
        <w:t> </w:t>
      </w:r>
      <w:r>
        <w:rPr/>
        <w:t>International</w:t>
      </w:r>
      <w:r>
        <w:rPr>
          <w:spacing w:val="60"/>
        </w:rPr>
        <w:t> </w:t>
      </w:r>
      <w:r>
        <w:rPr/>
        <w:t>Research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Finance</w:t>
      </w:r>
      <w:r>
        <w:rPr>
          <w:spacing w:val="1"/>
        </w:rPr>
        <w:t> </w:t>
      </w:r>
      <w:r>
        <w:rPr/>
        <w:t>and Economics, 24(2009), 186-193.</w:t>
      </w:r>
    </w:p>
    <w:p>
      <w:pPr>
        <w:spacing w:before="210"/>
        <w:ind w:left="1160" w:right="0" w:firstLine="0"/>
        <w:jc w:val="left"/>
        <w:rPr>
          <w:rFonts w:ascii="Calibri"/>
          <w:sz w:val="22"/>
        </w:rPr>
      </w:pPr>
      <w:hyperlink r:id="rId7">
        <w:r>
          <w:rPr>
            <w:rFonts w:ascii="Calibri"/>
            <w:color w:val="0000FF"/>
            <w:sz w:val="22"/>
            <w:u w:val="single" w:color="0000FF"/>
          </w:rPr>
          <w:t>www.bursamalaysia.com/mainmarket/</w:t>
        </w:r>
      </w:hyperlink>
    </w:p>
    <w:p>
      <w:pPr>
        <w:pStyle w:val="BodyText"/>
        <w:spacing w:before="0"/>
        <w:ind w:left="0"/>
        <w:jc w:val="left"/>
        <w:rPr>
          <w:rFonts w:ascii="Calibri"/>
          <w:sz w:val="20"/>
        </w:rPr>
      </w:pPr>
    </w:p>
    <w:p>
      <w:pPr>
        <w:pStyle w:val="BodyText"/>
        <w:spacing w:before="4"/>
        <w:ind w:left="0"/>
        <w:jc w:val="left"/>
        <w:rPr>
          <w:rFonts w:ascii="Calibri"/>
          <w:sz w:val="18"/>
        </w:rPr>
      </w:pPr>
    </w:p>
    <w:p>
      <w:pPr>
        <w:spacing w:before="0"/>
        <w:ind w:left="1160" w:right="0" w:firstLine="0"/>
        <w:jc w:val="left"/>
        <w:rPr>
          <w:rFonts w:ascii="Calibri"/>
          <w:sz w:val="22"/>
        </w:rPr>
      </w:pPr>
      <w:hyperlink r:id="rId8">
        <w:r>
          <w:rPr>
            <w:rFonts w:ascii="Calibri"/>
            <w:sz w:val="22"/>
          </w:rPr>
          <w:t>www.</w:t>
        </w:r>
      </w:hyperlink>
      <w:hyperlink r:id="rId9">
        <w:r>
          <w:rPr>
            <w:rFonts w:ascii="Calibri"/>
            <w:color w:val="0000FF"/>
            <w:sz w:val="22"/>
            <w:u w:val="single" w:color="0000FF"/>
          </w:rPr>
          <w:t>my.morningstar.com/ap/main/default.aspx</w:t>
        </w:r>
      </w:hyperlink>
    </w:p>
    <w:p>
      <w:pPr>
        <w:pStyle w:val="BodyText"/>
        <w:spacing w:before="0"/>
        <w:ind w:left="0"/>
        <w:jc w:val="left"/>
        <w:rPr>
          <w:rFonts w:ascii="Calibri"/>
          <w:sz w:val="20"/>
        </w:rPr>
      </w:pPr>
    </w:p>
    <w:p>
      <w:pPr>
        <w:pStyle w:val="BodyText"/>
        <w:spacing w:before="5"/>
        <w:ind w:left="0"/>
        <w:jc w:val="left"/>
        <w:rPr>
          <w:rFonts w:ascii="Calibri"/>
          <w:sz w:val="18"/>
        </w:rPr>
      </w:pPr>
    </w:p>
    <w:p>
      <w:pPr>
        <w:spacing w:before="0"/>
        <w:ind w:left="1160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111425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Calibri"/>
            <w:color w:val="0000FF"/>
            <w:sz w:val="22"/>
            <w:u w:val="single" w:color="0000FF"/>
          </w:rPr>
          <w:t>www.investopedia.com/</w:t>
        </w:r>
      </w:hyperlink>
    </w:p>
    <w:p>
      <w:pPr>
        <w:pStyle w:val="BodyText"/>
        <w:spacing w:before="0"/>
        <w:ind w:left="0"/>
        <w:jc w:val="left"/>
        <w:rPr>
          <w:rFonts w:ascii="Calibri"/>
          <w:sz w:val="20"/>
        </w:rPr>
      </w:pPr>
    </w:p>
    <w:p>
      <w:pPr>
        <w:pStyle w:val="BodyText"/>
        <w:spacing w:line="482" w:lineRule="auto" w:before="217"/>
        <w:ind w:right="117"/>
      </w:pPr>
      <w:r>
        <w:rPr/>
        <w:t>Zariyawati</w:t>
      </w:r>
      <w:r>
        <w:rPr>
          <w:spacing w:val="1"/>
        </w:rPr>
        <w:t> </w:t>
      </w:r>
      <w:r>
        <w:rPr/>
        <w:t>MA,</w:t>
      </w:r>
      <w:r>
        <w:rPr>
          <w:spacing w:val="1"/>
        </w:rPr>
        <w:t> </w:t>
      </w:r>
      <w:r>
        <w:rPr/>
        <w:t>Annuar</w:t>
      </w:r>
      <w:r>
        <w:rPr>
          <w:spacing w:val="1"/>
        </w:rPr>
        <w:t> </w:t>
      </w:r>
      <w:r>
        <w:rPr/>
        <w:t>MN,</w:t>
      </w:r>
      <w:r>
        <w:rPr>
          <w:spacing w:val="1"/>
        </w:rPr>
        <w:t> </w:t>
      </w:r>
      <w:r>
        <w:rPr/>
        <w:t>Taufiq</w:t>
      </w:r>
      <w:r>
        <w:rPr>
          <w:spacing w:val="1"/>
        </w:rPr>
        <w:t> </w:t>
      </w:r>
      <w:r>
        <w:rPr/>
        <w:t>H,</w:t>
      </w:r>
      <w:r>
        <w:rPr>
          <w:spacing w:val="1"/>
        </w:rPr>
        <w:t> </w:t>
      </w:r>
      <w:r>
        <w:rPr/>
        <w:t>Abdul</w:t>
      </w:r>
      <w:r>
        <w:rPr>
          <w:spacing w:val="1"/>
        </w:rPr>
        <w:t> </w:t>
      </w:r>
      <w:r>
        <w:rPr/>
        <w:t>Rahim</w:t>
      </w:r>
      <w:r>
        <w:rPr>
          <w:spacing w:val="1"/>
        </w:rPr>
        <w:t> </w:t>
      </w:r>
      <w:r>
        <w:rPr/>
        <w:t>AS.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management and corporate performance: Case of Malaysia, Journal of Modern</w:t>
      </w:r>
      <w:r>
        <w:rPr>
          <w:spacing w:val="1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and Auditing. 2009; 5(11):47-54.</w:t>
      </w:r>
    </w:p>
    <w:sectPr>
      <w:pgSz w:w="12240" w:h="15840"/>
      <w:pgMar w:header="0" w:footer="1014" w:top="1360" w:bottom="120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429993pt;margin-top:730.280029pt;width:18.3pt;height:13.05pt;mso-position-horizontal-relative:page;mso-position-vertical-relative:page;z-index:-1577881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9"/>
      <w:ind w:left="116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6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bursamalaysia.com/mainmarket/" TargetMode="External"/><Relationship Id="rId8" Type="http://schemas.openxmlformats.org/officeDocument/2006/relationships/hyperlink" Target="http://www/" TargetMode="External"/><Relationship Id="rId9" Type="http://schemas.openxmlformats.org/officeDocument/2006/relationships/hyperlink" Target="https://my.morningstar.com/ap/main/default.aspx" TargetMode="External"/><Relationship Id="rId10" Type="http://schemas.openxmlformats.org/officeDocument/2006/relationships/hyperlink" Target="http://www.investopedia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QIUP User</dc:creator>
  <dcterms:created xsi:type="dcterms:W3CDTF">2021-05-31T03:42:13Z</dcterms:created>
  <dcterms:modified xsi:type="dcterms:W3CDTF">2021-05-31T03:42:13Z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2021-05-31T00:00:00Z</vt:filetime>
  </property>
</Properties>
</file>